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D365EC" w:rsidRDefault="00D365EC" w:rsidP="008C20BF">
                      <w:pPr>
                        <w:jc w:val="center"/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92C2D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D47C4F">
        <w:rPr>
          <w:sz w:val="28"/>
          <w:szCs w:val="28"/>
          <w:lang w:val="ba-RU"/>
        </w:rPr>
        <w:t>“</w:t>
      </w:r>
      <w:r w:rsidR="00A035AE">
        <w:rPr>
          <w:sz w:val="28"/>
          <w:szCs w:val="28"/>
          <w:lang w:val="ba-RU"/>
        </w:rPr>
        <w:t>10</w:t>
      </w:r>
      <w:r w:rsidR="00252E04">
        <w:rPr>
          <w:sz w:val="28"/>
          <w:szCs w:val="28"/>
          <w:lang w:val="ba-RU"/>
        </w:rPr>
        <w:t xml:space="preserve">” </w:t>
      </w:r>
      <w:r w:rsidR="00A035AE">
        <w:rPr>
          <w:sz w:val="28"/>
          <w:szCs w:val="28"/>
          <w:lang w:val="ba-RU"/>
        </w:rPr>
        <w:t>февраль</w:t>
      </w:r>
      <w:r w:rsidR="00581CC0">
        <w:rPr>
          <w:sz w:val="28"/>
          <w:szCs w:val="28"/>
          <w:lang w:val="ba-RU"/>
        </w:rPr>
        <w:t xml:space="preserve"> 202</w:t>
      </w:r>
      <w:r w:rsidR="00452A02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№ </w:t>
      </w:r>
      <w:r w:rsidR="00A035AE">
        <w:rPr>
          <w:sz w:val="28"/>
          <w:szCs w:val="28"/>
          <w:lang w:val="ba-RU"/>
        </w:rPr>
        <w:t>5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 w:rsidR="00D47C4F">
        <w:rPr>
          <w:sz w:val="28"/>
          <w:szCs w:val="28"/>
          <w:lang w:val="ba-RU"/>
        </w:rPr>
        <w:t>“</w:t>
      </w:r>
      <w:r w:rsidR="00A035AE">
        <w:rPr>
          <w:sz w:val="28"/>
          <w:szCs w:val="28"/>
          <w:lang w:val="ba-RU"/>
        </w:rPr>
        <w:t>10</w:t>
      </w:r>
      <w:r w:rsidR="00252E04">
        <w:rPr>
          <w:sz w:val="28"/>
          <w:szCs w:val="28"/>
          <w:lang w:val="ba-RU"/>
        </w:rPr>
        <w:t xml:space="preserve">” </w:t>
      </w:r>
      <w:r w:rsidR="00A035AE">
        <w:rPr>
          <w:sz w:val="28"/>
          <w:szCs w:val="28"/>
          <w:lang w:val="ba-RU"/>
        </w:rPr>
        <w:t>феврал</w:t>
      </w:r>
      <w:r w:rsidR="00FE3196">
        <w:rPr>
          <w:sz w:val="28"/>
          <w:szCs w:val="28"/>
          <w:lang w:val="ba-RU"/>
        </w:rPr>
        <w:t>я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892C2D" w:rsidRDefault="008C20BF" w:rsidP="008C20BF">
      <w:pPr>
        <w:rPr>
          <w:bCs/>
          <w:sz w:val="22"/>
          <w:szCs w:val="28"/>
          <w:lang w:val="ba-RU"/>
        </w:rPr>
      </w:pPr>
      <w:r w:rsidRPr="00892C2D">
        <w:rPr>
          <w:bCs/>
          <w:caps/>
          <w:lang w:val="ba-RU"/>
        </w:rPr>
        <w:t xml:space="preserve">  </w:t>
      </w:r>
      <w:r w:rsidRPr="00892C2D">
        <w:rPr>
          <w:bCs/>
          <w:szCs w:val="28"/>
          <w:lang w:val="ba-RU"/>
        </w:rPr>
        <w:t>Туб</w:t>
      </w:r>
      <w:r w:rsidR="00581CC0" w:rsidRPr="00892C2D">
        <w:rPr>
          <w:bCs/>
          <w:szCs w:val="28"/>
          <w:lang w:val="ba-RU"/>
        </w:rPr>
        <w:t xml:space="preserve">әнге Ҡыйғы ауылы              </w:t>
      </w:r>
      <w:r w:rsidR="00581CC0" w:rsidRPr="00892C2D">
        <w:rPr>
          <w:bCs/>
          <w:szCs w:val="28"/>
          <w:lang w:val="ba-RU"/>
        </w:rPr>
        <w:tab/>
      </w:r>
      <w:r w:rsidRPr="00892C2D">
        <w:rPr>
          <w:bCs/>
          <w:szCs w:val="28"/>
          <w:lang w:val="ba-RU"/>
        </w:rPr>
        <w:t xml:space="preserve">         </w:t>
      </w:r>
      <w:r w:rsidRPr="00892C2D">
        <w:rPr>
          <w:bCs/>
          <w:szCs w:val="28"/>
          <w:lang w:val="ba-RU"/>
        </w:rPr>
        <w:tab/>
      </w:r>
      <w:r w:rsidR="00892C2D">
        <w:rPr>
          <w:bCs/>
          <w:szCs w:val="28"/>
          <w:lang w:val="ba-RU"/>
        </w:rPr>
        <w:t xml:space="preserve"> </w:t>
      </w:r>
      <w:r w:rsidR="00581CC0" w:rsidRPr="00892C2D">
        <w:rPr>
          <w:bCs/>
          <w:szCs w:val="28"/>
          <w:lang w:val="ba-RU"/>
        </w:rPr>
        <w:tab/>
        <w:t xml:space="preserve"> </w:t>
      </w:r>
      <w:r w:rsidR="00581CC0" w:rsidRPr="00892C2D">
        <w:rPr>
          <w:bCs/>
          <w:szCs w:val="28"/>
          <w:lang w:val="ba-RU"/>
        </w:rPr>
        <w:tab/>
      </w:r>
      <w:r w:rsidR="00581CC0" w:rsidRPr="00892C2D">
        <w:rPr>
          <w:bCs/>
          <w:szCs w:val="28"/>
          <w:lang w:val="ba-RU"/>
        </w:rPr>
        <w:tab/>
        <w:t xml:space="preserve">     </w:t>
      </w:r>
      <w:r w:rsidRPr="00892C2D">
        <w:rPr>
          <w:bCs/>
          <w:szCs w:val="28"/>
          <w:lang w:val="ba-RU"/>
        </w:rPr>
        <w:t xml:space="preserve">с. Нижние Киги </w:t>
      </w:r>
    </w:p>
    <w:p w:rsidR="007712E7" w:rsidRDefault="007712E7" w:rsidP="007712E7">
      <w:pPr>
        <w:rPr>
          <w:bCs/>
          <w:sz w:val="28"/>
          <w:szCs w:val="20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709"/>
        <w:jc w:val="center"/>
        <w:outlineLvl w:val="0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2"/>
        </w:rPr>
      </w:pPr>
    </w:p>
    <w:p w:rsidR="00A035AE" w:rsidRDefault="00A035AE" w:rsidP="00A03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5AE">
        <w:rPr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/>
          <w:sz w:val="28"/>
          <w:szCs w:val="28"/>
        </w:rPr>
        <w:t>Нижнекигин</w:t>
      </w:r>
      <w:r w:rsidRPr="00A035AE">
        <w:rPr>
          <w:b/>
          <w:sz w:val="28"/>
          <w:szCs w:val="28"/>
        </w:rPr>
        <w:t>ский сельсовет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5AE">
        <w:rPr>
          <w:b/>
          <w:sz w:val="28"/>
          <w:szCs w:val="28"/>
        </w:rPr>
        <w:t xml:space="preserve"> 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spacing w:after="1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14.07.2022) {КонсультантПлюс}">
        <w:r w:rsidRPr="00A035AE">
          <w:rPr>
            <w:sz w:val="28"/>
            <w:szCs w:val="28"/>
          </w:rPr>
          <w:t>статьей 217.1</w:t>
        </w:r>
      </w:hyperlink>
      <w:r w:rsidRPr="00A035AE">
        <w:rPr>
          <w:sz w:val="28"/>
          <w:szCs w:val="28"/>
        </w:rPr>
        <w:t xml:space="preserve"> Бюджетного кодекса Российской Федерации, Администрация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</w:t>
      </w:r>
      <w:r>
        <w:rPr>
          <w:sz w:val="28"/>
          <w:szCs w:val="28"/>
        </w:rPr>
        <w:t>п о с т а н о в л я е т:</w:t>
      </w: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1. Утвердить прилагаемый </w:t>
      </w:r>
      <w:hyperlink w:anchor="P36" w:tooltip="ПОРЯДОК">
        <w:r w:rsidRPr="00A035AE">
          <w:rPr>
            <w:sz w:val="28"/>
            <w:szCs w:val="28"/>
          </w:rPr>
          <w:t>Порядок</w:t>
        </w:r>
      </w:hyperlink>
      <w:r w:rsidRPr="00A035AE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в текущем финансовом году.</w:t>
      </w: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от </w:t>
      </w:r>
      <w:r w:rsidRPr="00A035AE">
        <w:rPr>
          <w:rFonts w:ascii="Arial" w:hAnsi="Arial" w:cs="Arial"/>
        </w:rPr>
        <w:t xml:space="preserve"> </w:t>
      </w:r>
      <w:r>
        <w:rPr>
          <w:sz w:val="28"/>
          <w:szCs w:val="28"/>
        </w:rPr>
        <w:t>01</w:t>
      </w:r>
      <w:r w:rsidRPr="00A035AE">
        <w:rPr>
          <w:sz w:val="28"/>
          <w:szCs w:val="28"/>
        </w:rPr>
        <w:t xml:space="preserve"> ноября 2019 года  №  </w:t>
      </w:r>
      <w:r>
        <w:rPr>
          <w:sz w:val="28"/>
          <w:szCs w:val="28"/>
        </w:rPr>
        <w:t>82</w:t>
      </w:r>
      <w:r w:rsidRPr="00A035AE">
        <w:rPr>
          <w:rFonts w:ascii="Arial" w:hAnsi="Arial" w:cs="Arial"/>
          <w:sz w:val="20"/>
          <w:szCs w:val="28"/>
        </w:rPr>
        <w:t xml:space="preserve"> </w:t>
      </w:r>
      <w:r w:rsidRPr="00A035AE">
        <w:rPr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в текущем финансовом году» (с изменениями утвержденными постановлением Администрации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от </w:t>
      </w:r>
      <w:r>
        <w:rPr>
          <w:sz w:val="28"/>
          <w:szCs w:val="28"/>
        </w:rPr>
        <w:t>11 январ</w:t>
      </w:r>
      <w:r w:rsidRPr="00A035AE">
        <w:rPr>
          <w:sz w:val="28"/>
          <w:szCs w:val="28"/>
        </w:rPr>
        <w:t>я 2021г.</w:t>
      </w:r>
      <w:r>
        <w:rPr>
          <w:sz w:val="28"/>
          <w:szCs w:val="28"/>
        </w:rPr>
        <w:t xml:space="preserve"> №1</w:t>
      </w:r>
      <w:r w:rsidRPr="00A035AE">
        <w:rPr>
          <w:sz w:val="28"/>
          <w:szCs w:val="28"/>
        </w:rPr>
        <w:t>)</w:t>
      </w: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Default="00A035AE" w:rsidP="00A035AE">
      <w:pPr>
        <w:widowControl w:val="0"/>
        <w:autoSpaceDE w:val="0"/>
        <w:autoSpaceDN w:val="0"/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Глава сельского поселения                                                                       А.У. Нуриев</w:t>
      </w:r>
    </w:p>
    <w:p w:rsidR="00A035AE" w:rsidRDefault="00A035AE" w:rsidP="00A035AE">
      <w:pPr>
        <w:widowControl w:val="0"/>
        <w:autoSpaceDE w:val="0"/>
        <w:autoSpaceDN w:val="0"/>
        <w:jc w:val="right"/>
        <w:rPr>
          <w:bCs/>
          <w:sz w:val="28"/>
          <w:szCs w:val="20"/>
        </w:rPr>
      </w:pPr>
    </w:p>
    <w:p w:rsidR="00A035AE" w:rsidRDefault="00A035AE" w:rsidP="00A035AE">
      <w:pPr>
        <w:widowControl w:val="0"/>
        <w:autoSpaceDE w:val="0"/>
        <w:autoSpaceDN w:val="0"/>
        <w:jc w:val="right"/>
        <w:rPr>
          <w:bCs/>
          <w:sz w:val="28"/>
          <w:szCs w:val="20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0"/>
        <w:rPr>
          <w:sz w:val="22"/>
          <w:szCs w:val="28"/>
        </w:rPr>
      </w:pPr>
      <w:r w:rsidRPr="00A035AE">
        <w:rPr>
          <w:sz w:val="22"/>
          <w:szCs w:val="28"/>
        </w:rPr>
        <w:lastRenderedPageBreak/>
        <w:t>Утвержден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A035AE">
        <w:rPr>
          <w:sz w:val="22"/>
          <w:szCs w:val="28"/>
        </w:rPr>
        <w:t xml:space="preserve">постановлением Администрации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A035AE">
        <w:rPr>
          <w:sz w:val="22"/>
          <w:szCs w:val="28"/>
        </w:rPr>
        <w:t xml:space="preserve">сельского поселения </w:t>
      </w:r>
      <w:r>
        <w:rPr>
          <w:sz w:val="22"/>
          <w:szCs w:val="28"/>
        </w:rPr>
        <w:t>Нижнекигин</w:t>
      </w:r>
      <w:r w:rsidRPr="00A035AE">
        <w:rPr>
          <w:sz w:val="22"/>
          <w:szCs w:val="28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A035AE">
        <w:rPr>
          <w:sz w:val="22"/>
          <w:szCs w:val="28"/>
        </w:rPr>
        <w:t xml:space="preserve">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A035AE">
        <w:rPr>
          <w:sz w:val="22"/>
          <w:szCs w:val="28"/>
        </w:rPr>
        <w:t>Республики Башкортостан</w:t>
      </w:r>
    </w:p>
    <w:p w:rsidR="00A035AE" w:rsidRPr="00A035AE" w:rsidRDefault="00F2781C" w:rsidP="00A035AE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A035AE">
        <w:rPr>
          <w:sz w:val="22"/>
          <w:szCs w:val="28"/>
        </w:rPr>
        <w:t>от 10</w:t>
      </w:r>
      <w:r w:rsidR="00A035AE" w:rsidRPr="00A035AE">
        <w:rPr>
          <w:sz w:val="22"/>
          <w:szCs w:val="28"/>
        </w:rPr>
        <w:t xml:space="preserve"> февраля 2023г. N </w:t>
      </w:r>
      <w:r w:rsidR="00A035AE">
        <w:rPr>
          <w:sz w:val="22"/>
          <w:szCs w:val="28"/>
        </w:rPr>
        <w:t>5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6"/>
      <w:bookmarkEnd w:id="0"/>
      <w:r w:rsidRPr="00A035AE">
        <w:rPr>
          <w:sz w:val="28"/>
          <w:szCs w:val="28"/>
        </w:rPr>
        <w:t>Порядок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35AE">
        <w:rPr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spacing w:after="1"/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035AE">
        <w:rPr>
          <w:sz w:val="28"/>
          <w:szCs w:val="28"/>
        </w:rPr>
        <w:t>I. Общие положение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Кигинский район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2. Кассовый план включает: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кассовый план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на текущий финансовый год;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кассовый план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на текущий месяц.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в электронном виде с применением средств электронной подписи.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В ходе составления и ведения кассового плана Администрации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представляет участникам процесса прогнозирования </w:t>
      </w:r>
      <w:r w:rsidRPr="00A035AE">
        <w:rPr>
          <w:sz w:val="28"/>
          <w:szCs w:val="28"/>
        </w:rPr>
        <w:lastRenderedPageBreak/>
        <w:t xml:space="preserve">необходимую для формирования Сведений информацию о кассовом исполнении бюджета </w:t>
      </w:r>
      <w:bookmarkStart w:id="1" w:name="_Hlk121920889"/>
      <w:r w:rsidRPr="00A035A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</w:t>
      </w:r>
      <w:bookmarkEnd w:id="1"/>
      <w:r w:rsidRPr="00A035AE">
        <w:rPr>
          <w:sz w:val="28"/>
          <w:szCs w:val="28"/>
        </w:rPr>
        <w:t xml:space="preserve">Республики Башкортостан и показателях сводной бюджетной росписи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(далее - информация об исполнении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4. Кассовый </w:t>
      </w:r>
      <w:hyperlink w:anchor="P193" w:tooltip="                               КАССОВЫЙ ПЛАН">
        <w:r w:rsidRPr="00A035AE">
          <w:rPr>
            <w:sz w:val="28"/>
            <w:szCs w:val="28"/>
          </w:rPr>
          <w:t>план</w:t>
        </w:r>
      </w:hyperlink>
      <w:r w:rsidRPr="00A035AE">
        <w:rPr>
          <w:sz w:val="28"/>
          <w:szCs w:val="28"/>
        </w:rPr>
        <w:t xml:space="preserve">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 w:rsidR="00F2781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на текущий финансовый год (далее - кассовый план на текущий финансовый год) составляется по форме согласно приложению N 1 к настоящему Порядку, кассовый </w:t>
      </w:r>
      <w:hyperlink w:anchor="P915" w:tooltip="                               КАССОВЫЙ ПЛАН">
        <w:r w:rsidRPr="00A035AE">
          <w:rPr>
            <w:sz w:val="28"/>
            <w:szCs w:val="28"/>
          </w:rPr>
          <w:t>план</w:t>
        </w:r>
      </w:hyperlink>
      <w:r w:rsidRPr="00A035AE">
        <w:rPr>
          <w:sz w:val="28"/>
          <w:szCs w:val="28"/>
        </w:rPr>
        <w:t xml:space="preserve"> исполнения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на текущий месяц (далее - кассовый план на текущий месяц) - согласно приложению N 2 к настоящему Порядку и утверждается главой сельского поселения (лицом, исполняющим его обязанности).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A035AE">
          <w:rPr>
            <w:sz w:val="28"/>
            <w:szCs w:val="28"/>
          </w:rPr>
          <w:t>главами II</w:t>
        </w:r>
      </w:hyperlink>
      <w:r w:rsidRPr="00A035AE">
        <w:rPr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A035AE">
          <w:rPr>
            <w:sz w:val="28"/>
            <w:szCs w:val="28"/>
          </w:rPr>
          <w:t>IV</w:t>
        </w:r>
      </w:hyperlink>
      <w:r w:rsidRPr="00A035AE">
        <w:rPr>
          <w:sz w:val="28"/>
          <w:szCs w:val="28"/>
        </w:rPr>
        <w:t xml:space="preserve"> настоящего Порядка: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65" w:tooltip="II. ПОРЯДОК СОСТАВЛЕНИЯ, УТОЧНЕНИЯ И НАПРАВЛЕНИЯ ПРОГНОЗОВ">
        <w:r w:rsidRPr="00A035AE">
          <w:rPr>
            <w:sz w:val="28"/>
            <w:szCs w:val="28"/>
          </w:rPr>
          <w:t>главой II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99" w:tooltip="III. ПОРЯДОК СОСТАВЛЕНИЯ, УТОЧНЕНИЯ И НАПРАВЛЕНИЯ ПРОГНОЗОВ">
        <w:r w:rsidRPr="00A035AE">
          <w:rPr>
            <w:sz w:val="28"/>
            <w:szCs w:val="28"/>
          </w:rPr>
          <w:t>главой III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124" w:tooltip="IV. ПОРЯДОК СОСТАВЛЕНИЯ, УТОЧНЕНИЯ И НАПРАВЛЕНИЯ ПРОГНОЗОВ">
        <w:r w:rsidRPr="00A035AE">
          <w:rPr>
            <w:sz w:val="28"/>
            <w:szCs w:val="28"/>
          </w:rPr>
          <w:t>главой IV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иных необходимых показателей.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A035AE">
          <w:rPr>
            <w:sz w:val="28"/>
            <w:szCs w:val="28"/>
          </w:rPr>
          <w:t>главами II</w:t>
        </w:r>
      </w:hyperlink>
      <w:r w:rsidRPr="00A035AE">
        <w:rPr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A035AE">
          <w:rPr>
            <w:sz w:val="28"/>
            <w:szCs w:val="28"/>
          </w:rPr>
          <w:t>IV</w:t>
        </w:r>
      </w:hyperlink>
      <w:r w:rsidRPr="00A035AE">
        <w:rPr>
          <w:sz w:val="28"/>
          <w:szCs w:val="28"/>
        </w:rPr>
        <w:t xml:space="preserve"> настоящего Порядка: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</w:t>
      </w:r>
      <w:r w:rsidRPr="00A035AE">
        <w:rPr>
          <w:sz w:val="28"/>
          <w:szCs w:val="28"/>
        </w:rPr>
        <w:lastRenderedPageBreak/>
        <w:t xml:space="preserve">Башкортостан на текущий месяц, формируемого в порядке, предусмотренном </w:t>
      </w:r>
      <w:hyperlink w:anchor="P65" w:tooltip="II. ПОРЯДОК СОСТАВЛЕНИЯ, УТОЧНЕНИЯ И НАПРАВЛЕНИЯ ПРОГНОЗОВ">
        <w:r w:rsidRPr="00A035AE">
          <w:rPr>
            <w:sz w:val="28"/>
            <w:szCs w:val="28"/>
          </w:rPr>
          <w:t>главой II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 w:rsidR="00F2781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99" w:tooltip="III. ПОРЯДОК СОСТАВЛЕНИЯ, УТОЧНЕНИЯ И НАПРАВЛЕНИЯ ПРОГНОЗОВ">
        <w:r w:rsidRPr="00A035AE">
          <w:rPr>
            <w:sz w:val="28"/>
            <w:szCs w:val="28"/>
          </w:rPr>
          <w:t>главой III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124" w:tooltip="IV. ПОРЯДОК СОСТАВЛЕНИЯ, УТОЧНЕНИЯ И НАПРАВЛЕНИЯ ПРОГНОЗОВ">
        <w:r w:rsidRPr="00A035AE">
          <w:rPr>
            <w:sz w:val="28"/>
            <w:szCs w:val="28"/>
          </w:rPr>
          <w:t>главой IV</w:t>
        </w:r>
      </w:hyperlink>
      <w:r w:rsidRPr="00A035AE">
        <w:rPr>
          <w:sz w:val="28"/>
          <w:szCs w:val="28"/>
        </w:rPr>
        <w:t xml:space="preserve"> настоящего Порядка;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иных необходимых показателей.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7. Показатели кассового </w:t>
      </w:r>
      <w:hyperlink w:anchor="P915" w:tooltip="                               КАССОВЫЙ ПЛАН">
        <w:r w:rsidRPr="00A035AE">
          <w:rPr>
            <w:sz w:val="28"/>
            <w:szCs w:val="28"/>
          </w:rPr>
          <w:t>плана</w:t>
        </w:r>
      </w:hyperlink>
      <w:r w:rsidRPr="00A035AE">
        <w:rPr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93" w:tooltip="                               КАССОВЫЙ ПЛАН">
        <w:r w:rsidRPr="00A035AE">
          <w:rPr>
            <w:sz w:val="28"/>
            <w:szCs w:val="28"/>
          </w:rPr>
          <w:t>плана</w:t>
        </w:r>
      </w:hyperlink>
      <w:r w:rsidRPr="00A035AE">
        <w:rPr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2" w:name="P65"/>
      <w:bookmarkEnd w:id="2"/>
      <w:r w:rsidRPr="00A035AE">
        <w:rPr>
          <w:sz w:val="28"/>
          <w:szCs w:val="28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финансовый год и прогнозов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035AE">
        <w:rPr>
          <w:sz w:val="28"/>
          <w:szCs w:val="28"/>
        </w:rPr>
        <w:t>Республики Башкортостан 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формируются на основании </w:t>
      </w:r>
      <w:hyperlink w:anchor="P1898" w:tooltip="                      ПРОГНОЗ ПОСТУПЛЕНИЙ ПО ДО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финансовый год (приложение N 3 к настоящему Порядку), полученных от главных администраторов доходов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9. В целях составления кассового плана на текущий финансовый год не позднее третьего рабочего дня со дня доведения показателей, предусмотренных Решением Совета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о бюджете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соответствующий финансовый год и плановый период, формируется и направляется прогноз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на текущий финансовый год главными администраторами </w:t>
      </w:r>
      <w:r w:rsidRPr="00A035AE">
        <w:rPr>
          <w:sz w:val="28"/>
          <w:szCs w:val="28"/>
        </w:rPr>
        <w:lastRenderedPageBreak/>
        <w:t xml:space="preserve">доходов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налоговым и неналоговым доходам – в Администрацию сельского поселения;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безвозмездным поступлениям – в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 xml:space="preserve">ский сельсовет муниципального района Кигинский район Республики Башкортостан формируют уточненные </w:t>
      </w:r>
      <w:hyperlink w:anchor="P1898" w:tooltip="                      ПРОГНОЗ ПОСТУПЛЕНИЙ ПО ДОХОДАМ">
        <w:r w:rsidRPr="00A035AE">
          <w:rPr>
            <w:sz w:val="28"/>
            <w:szCs w:val="28"/>
          </w:rPr>
          <w:t>прогнозы</w:t>
        </w:r>
      </w:hyperlink>
      <w:r w:rsidRPr="00A035AE">
        <w:rPr>
          <w:sz w:val="28"/>
          <w:szCs w:val="28"/>
        </w:rPr>
        <w:t xml:space="preserve"> поступлений по доходам бюджета сельского поселения </w:t>
      </w:r>
      <w:r>
        <w:rPr>
          <w:sz w:val="28"/>
          <w:szCs w:val="28"/>
        </w:rPr>
        <w:t>Нижнекигин</w:t>
      </w:r>
      <w:r w:rsidRPr="00A035AE">
        <w:rPr>
          <w:sz w:val="28"/>
          <w:szCs w:val="28"/>
        </w:rPr>
        <w:t>ский сельсовет муниципального района Кигинский район Республики Башкортостан на текущий финансовый год (приложение N 3).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в соответствии с информацией об исполнении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и уточняются соответствующие показатели периода, следующего за отчетным месяцем.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Уточненное прогнозы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налоговым и неналоговым доходам - в Администрацию сельского поселения;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безвозмездным поступлениям - в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11. В случае отклонения фактических поступлений по видам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</w:t>
      </w:r>
      <w:r w:rsidRPr="00A035AE">
        <w:rPr>
          <w:sz w:val="28"/>
          <w:szCs w:val="28"/>
        </w:rPr>
        <w:lastRenderedPageBreak/>
        <w:t>Кигинский район Республики Башкортостан в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12. Администрация сельского поселения на основе прогнозов главных администраторов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формирует </w:t>
      </w:r>
      <w:hyperlink w:anchor="P2000" w:tooltip="                ПРОГНОЗ ПОСТУПЛЕНИЙ НАЛОГОВЫХ И НЕНАЛОГОВЫХ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по налоговым и неналоговым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согласованный главой сельского поселения (приложение N 4):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в целях составления кассового плана на текущий финансовый год - не позднее четвертого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13. Показатели для кассового плана на текущий месяц по поступлениям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2128" w:tooltip="                      ПРОГНОЗ ПОСТУПЛЕНИЙ ПО ДОХОДАМ">
        <w:r w:rsidRPr="00A035AE">
          <w:rPr>
            <w:sz w:val="28"/>
            <w:szCs w:val="28"/>
          </w:rPr>
          <w:t>прогноза</w:t>
        </w:r>
      </w:hyperlink>
      <w:r w:rsidRPr="00A035AE">
        <w:rPr>
          <w:sz w:val="28"/>
          <w:szCs w:val="28"/>
        </w:rPr>
        <w:t xml:space="preserve">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на текущий месяц (приложение N 5), полученного от главных администраторов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14. Прогнозы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на текущий месяц, сформированные на январь очередного финансового года,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формируются и направляются главными администраторами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налоговым и неналоговым доходам - в Администрацию сельского поселения;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безвозмездным поступлениям – а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lastRenderedPageBreak/>
        <w:t xml:space="preserve">15. В период с февраля по декабрь текущего финансового года прогнозы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налоговым и неналоговым доходам - в Администрацию сельского поселения;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по безвозмездным поступлениям - в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16. Администрация сельского поселения на основе прогнозов главных администраторов доходов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формирует </w:t>
      </w:r>
      <w:hyperlink w:anchor="P2289" w:tooltip="                ПРОГНОЗ ПОСТУПЛЕНИЙ НАЛОГОВЫХ И НЕНАЛОГОВЫХ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по налоговым и неналоговым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согласованный главой сельского поселения (приложение N 6):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на январь очередного финансового года - не позднее четвертого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17. Показатели </w:t>
      </w:r>
      <w:hyperlink w:anchor="P2128" w:tooltip="                      ПРОГНОЗ ПОСТУПЛЕНИЙ ПО ДО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5) должны соответствовать показателям </w:t>
      </w:r>
      <w:hyperlink w:anchor="P1898" w:tooltip="                      ПРОГНОЗ ПОСТУПЛЕНИЙ ПО ДО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по доходам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3) по текущему месяцу.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3" w:name="P99"/>
      <w:bookmarkEnd w:id="3"/>
      <w:r w:rsidRPr="00A035AE">
        <w:rPr>
          <w:sz w:val="28"/>
          <w:szCs w:val="28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035AE">
        <w:rPr>
          <w:sz w:val="28"/>
          <w:szCs w:val="28"/>
        </w:rPr>
        <w:t xml:space="preserve"> Республики Башкортостан 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lastRenderedPageBreak/>
        <w:t xml:space="preserve">18. Показатели для кассового плана на текущий финансовый год по перечислениям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сводной бюджетной росписи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>сельсовет муниципального района Кигинский район Республики Башкортостан;</w:t>
      </w:r>
    </w:p>
    <w:p w:rsidR="00A035AE" w:rsidRPr="00A035AE" w:rsidRDefault="000070D4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hyperlink w:anchor="P2463" w:tooltip="                     ПРОГНОЗ ПЕРЕЧИСЛЕНИЙ ПО РАСХОДАМ">
        <w:r w:rsidR="00A035AE" w:rsidRPr="00A035AE">
          <w:rPr>
            <w:sz w:val="28"/>
            <w:szCs w:val="28"/>
          </w:rPr>
          <w:t>прогнозов</w:t>
        </w:r>
      </w:hyperlink>
      <w:r w:rsidR="00A035AE"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="00A035AE" w:rsidRPr="00A035AE">
        <w:rPr>
          <w:sz w:val="28"/>
          <w:szCs w:val="28"/>
        </w:rPr>
        <w:t>сельсовет муниципального района Кигинский район Республики Башкортостан на текущий финансовый год (приложение N 7).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(далее - главные распорядители) формируют </w:t>
      </w:r>
      <w:hyperlink w:anchor="P2463" w:tooltip="                     ПРОГНОЗ ПЕРЕЧИСЛЕНИЙ ПО РАСХОДАМ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 и направляют в Администрацию сельского поселения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463" w:tooltip="                     ПРОГНОЗ ПЕРЕЧИСЛЕНИЙ ПО РАСХОДАМ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 и направляют в Администрацию сельского поселения.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осуществляется: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на основании информации об исполнении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 расходам в период с февраля по декабрь текущего финансового года </w:t>
      </w:r>
      <w:r w:rsidRPr="00A035AE">
        <w:rPr>
          <w:sz w:val="28"/>
          <w:szCs w:val="28"/>
        </w:rPr>
        <w:lastRenderedPageBreak/>
        <w:t>по состоянию на первое число текущего месяца - ежемесячно не позднее третьего рабочего дня текущего месяца.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21. В случае отклонения фактических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Администрацию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2565" w:tooltip="                     ПРОГНОЗ ПЕРЕЧИСЛЕНИЙ ПО РАС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8).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565" w:tooltip="                     ПРОГНОЗ ПЕРЕЧИСЛЕНИЙ ПО РАСХОДАМ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8 к настоящему Порядку) и направляют Администрацию сельского поселения: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на январь очередного финансового года -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24. Показатели </w:t>
      </w:r>
      <w:hyperlink w:anchor="P2565" w:tooltip="                     ПРОГНОЗ ПЕРЕЧИСЛЕНИЙ ПО РАС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</w:t>
      </w:r>
      <w:r w:rsidRPr="00A035AE">
        <w:rPr>
          <w:sz w:val="28"/>
          <w:szCs w:val="28"/>
        </w:rPr>
        <w:lastRenderedPageBreak/>
        <w:t xml:space="preserve">Республики Башкортостан на текущий месяц (приложение N 8) должны соответствовать показателям </w:t>
      </w:r>
      <w:hyperlink w:anchor="P2463" w:tooltip="                     ПРОГНОЗ ПЕРЕЧИСЛЕНИЙ ПО РАСХОДАМ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перечислений по расходам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 по текущему месяцу.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4" w:name="P124"/>
      <w:bookmarkEnd w:id="4"/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035AE">
        <w:rPr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35AE">
        <w:rPr>
          <w:sz w:val="28"/>
          <w:szCs w:val="28"/>
        </w:rPr>
        <w:t xml:space="preserve">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25.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сводной бюджетной росписи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A035AE" w:rsidRPr="00A035AE" w:rsidRDefault="000070D4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hyperlink w:anchor="P2726" w:tooltip="                   ПРОГНОЗ ПОСТУПЛЕНИЙ И ПЕРЕЧИСЛЕНИЙ ПО">
        <w:r w:rsidR="00A035AE" w:rsidRPr="00A035AE">
          <w:rPr>
            <w:sz w:val="28"/>
            <w:szCs w:val="28"/>
          </w:rPr>
          <w:t>прогноза</w:t>
        </w:r>
      </w:hyperlink>
      <w:r w:rsidR="00A035AE"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A035AE"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26. В целях составления кассового плана на текущий финансовый год главные администраторы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направляют в Администрацию сельского поселения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 w:rsidR="00D365EC">
        <w:rPr>
          <w:sz w:val="28"/>
          <w:szCs w:val="28"/>
        </w:rPr>
        <w:lastRenderedPageBreak/>
        <w:t>Нижнекигин</w:t>
      </w:r>
      <w:r w:rsidR="00D365EC" w:rsidRPr="00A035AE">
        <w:rPr>
          <w:sz w:val="28"/>
          <w:szCs w:val="28"/>
        </w:rPr>
        <w:t>ский</w:t>
      </w:r>
      <w:r w:rsidR="00D365EC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 xml:space="preserve">сельсовет муниципального района Кигинский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Республики Башкортостан (далее - закрепленные коды) формируют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27.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Башкортостан, формирует не позднее четвертого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в соответствии с информацией об исполнении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и уточняются соответствующие показатели периода, следующего за отчетным месяцем.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lastRenderedPageBreak/>
        <w:t xml:space="preserve">Уточненный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уточненный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29. 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 уточненный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на текущий финансовый год (приложение N 9).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30. В случае отклонения фактических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lastRenderedPageBreak/>
        <w:t xml:space="preserve">31.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формируются на основании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32. Главные администраторы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сформированный на январь очередного финансового года.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Администрация сельского поселения по закрепленным кодам формируют не позднее третьего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10), сформированный на январь очередного финансового года.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33.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формирует не позднее четвертого рабочего дня со дня доведения показателей, предусмотренных Решением Совета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D365EC">
        <w:rPr>
          <w:sz w:val="28"/>
          <w:szCs w:val="28"/>
        </w:rPr>
        <w:t>Нижнекигин</w:t>
      </w:r>
      <w:r w:rsidR="00D365EC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</w:t>
      </w:r>
      <w:r w:rsidRPr="00A035AE">
        <w:rPr>
          <w:sz w:val="28"/>
          <w:szCs w:val="28"/>
        </w:rPr>
        <w:lastRenderedPageBreak/>
        <w:t xml:space="preserve">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10), сформированный на январь очередного финансового года.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34.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10).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 по состоянию на первое число текущего месяца.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35.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сельского поселения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="00526614">
        <w:rPr>
          <w:sz w:val="28"/>
          <w:szCs w:val="28"/>
        </w:rPr>
        <w:t xml:space="preserve"> </w:t>
      </w:r>
      <w:r w:rsidRPr="00A035AE">
        <w:rPr>
          <w:sz w:val="28"/>
          <w:szCs w:val="28"/>
        </w:rPr>
        <w:t>сельсовет муниципального района Кигинский район Республики Башкортостан на текущий месяц (приложение N 10) по состоянию на первое число текущего месяца.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36. Показатели </w:t>
      </w:r>
      <w:hyperlink w:anchor="P3009" w:tooltip="                   ПРОГНОЗ ПОСТУПЛЕНИЙ И ПЕРЕЧИСЛЕНИЙ ПО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 должны соответствовать показателям </w:t>
      </w:r>
      <w:hyperlink w:anchor="P2726" w:tooltip="                   ПРОГНОЗ ПОСТУПЛЕНИЙ И ПЕРЕЧИСЛЕНИЙ ПО">
        <w:r w:rsidRPr="00A035AE">
          <w:rPr>
            <w:sz w:val="28"/>
            <w:szCs w:val="28"/>
          </w:rPr>
          <w:t>прогнозов</w:t>
        </w:r>
      </w:hyperlink>
      <w:r w:rsidRPr="00A035AE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 по текущему месяцу.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035AE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37. Кассовый </w:t>
      </w:r>
      <w:hyperlink w:anchor="P193" w:tooltip="                               КАССОВЫЙ ПЛАН">
        <w:r w:rsidRPr="00A035AE">
          <w:rPr>
            <w:sz w:val="28"/>
            <w:szCs w:val="28"/>
          </w:rPr>
          <w:t>план</w:t>
        </w:r>
      </w:hyperlink>
      <w:r w:rsidRPr="00A035AE">
        <w:rPr>
          <w:sz w:val="28"/>
          <w:szCs w:val="28"/>
        </w:rPr>
        <w:t xml:space="preserve"> на текущий финансовый год составляется Администрацией сельского поселения (приложение N 1) не позднее пятого рабочего дня со дня доведения показателей, предусмотренных Решением Совета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38.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39. Кассовый </w:t>
      </w:r>
      <w:hyperlink w:anchor="P915" w:tooltip="                               КАССОВЫЙ ПЛАН">
        <w:r w:rsidRPr="00A035AE">
          <w:rPr>
            <w:sz w:val="28"/>
            <w:szCs w:val="28"/>
          </w:rPr>
          <w:t>план</w:t>
        </w:r>
      </w:hyperlink>
      <w:r w:rsidRPr="00A035AE">
        <w:rPr>
          <w:sz w:val="28"/>
          <w:szCs w:val="28"/>
        </w:rPr>
        <w:t xml:space="preserve"> на текущий месяц (приложение N 2) составляется Инспекцией по бюджету: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 xml:space="preserve">на январь очередного финансового года - не позднее пятого рабочего дня со дня доведения показателей, предусмотренных Решением Совета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 w:rsidR="00526614">
        <w:rPr>
          <w:sz w:val="28"/>
          <w:szCs w:val="28"/>
        </w:rPr>
        <w:t>Нижнекигин</w:t>
      </w:r>
      <w:r w:rsidR="00526614" w:rsidRPr="00A035AE">
        <w:rPr>
          <w:sz w:val="28"/>
          <w:szCs w:val="28"/>
        </w:rPr>
        <w:t>ский</w:t>
      </w:r>
      <w:r w:rsidRPr="00A035AE">
        <w:rPr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A035AE" w:rsidRPr="00A035AE" w:rsidRDefault="00A035AE" w:rsidP="00A035A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A035AE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526614" w:rsidRPr="00A035AE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lastRenderedPageBreak/>
        <w:t>Приложение N 1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526614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УТВЕРЖДАЮ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Глава сельского поселения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_________ 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(подпись) (И.О.Фамилия)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"__" _______ 20__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5" w:name="P193"/>
      <w:bookmarkEnd w:id="5"/>
      <w:r w:rsidRPr="00A035AE">
        <w:rPr>
          <w:rFonts w:ascii="Courier New" w:hAnsi="Courier New" w:cs="Courier New"/>
          <w:sz w:val="20"/>
          <w:szCs w:val="22"/>
        </w:rPr>
        <w:t xml:space="preserve">                               КАССОВЫЙ ПЛАН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ИСПОЛНЕНИЯ БЮДЖЕТА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МУНИЦИПАЛЬНОГО РАЙОНА КИГИНСКИЙ РАЙОН РЕСПУБЛИКИ БАШКОРТОСТАН НА ТЕКУЩИЙ ФИНАНСОВЫЙ ГОД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на "___" _____________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Наименование органа,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осуществляющего составление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 ведение кассового плана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исполнения бюджета сельского поселения </w:t>
      </w:r>
    </w:p>
    <w:p w:rsidR="00A035AE" w:rsidRPr="00A035AE" w:rsidRDefault="00526614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Нижнекигин</w:t>
      </w:r>
      <w:r w:rsidR="00A035AE" w:rsidRPr="00A035AE">
        <w:rPr>
          <w:rFonts w:ascii="Courier New" w:hAnsi="Courier New" w:cs="Courier New"/>
          <w:sz w:val="20"/>
          <w:szCs w:val="22"/>
        </w:rPr>
        <w:t>ский сельсовет муниципального района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Кигинский район Республики Башкортостан       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АДМИНИСТРАЦИИ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 xml:space="preserve">СКИЙ СЕЛЬСОВЕТ                    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Единица измерения: руб.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850"/>
        <w:gridCol w:w="993"/>
        <w:gridCol w:w="567"/>
        <w:gridCol w:w="708"/>
        <w:gridCol w:w="709"/>
        <w:gridCol w:w="625"/>
        <w:gridCol w:w="792"/>
        <w:gridCol w:w="992"/>
        <w:gridCol w:w="650"/>
        <w:gridCol w:w="768"/>
        <w:gridCol w:w="850"/>
        <w:gridCol w:w="992"/>
        <w:gridCol w:w="708"/>
        <w:gridCol w:w="709"/>
        <w:gridCol w:w="737"/>
        <w:gridCol w:w="680"/>
      </w:tblGrid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строки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Январь</w:t>
            </w: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Март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Апрель</w:t>
            </w: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Май</w:t>
            </w: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Июнь</w:t>
            </w: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полугодие</w:t>
            </w: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Июль</w:t>
            </w: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9 месяцев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Ноябрь</w:t>
            </w: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Декабрь</w:t>
            </w: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год</w:t>
            </w: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Остатки на едином счете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0100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Поступления по доходам и источникам 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0200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и неналоговые доходы,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0210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0211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0212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0220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Поступления по источникам финансирования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 xml:space="preserve">дефицита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Республики Башкортостан 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0230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0231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0232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0233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0234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0235</w:t>
            </w: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0236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0237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возврат средств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0238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привлечение бюджетных кредитов в иностранной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0239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0300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перечисления по расходам,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0310_1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0310_2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0311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межбюджетные трансферты,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0312_1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0312_2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0313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0314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0315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Перечисления по источникам финансирования дефицита бюджета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 xml:space="preserve">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Республики Башкортостан 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0330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0331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0332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0333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0334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возврат средств организаций, учредителем которых является 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lastRenderedPageBreak/>
              <w:t xml:space="preserve">сельское поселение </w:t>
            </w:r>
          </w:p>
          <w:p w:rsidR="00A035AE" w:rsidRPr="00A035AE" w:rsidRDefault="00526614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="00A035AE" w:rsidRPr="00A035AE">
              <w:rPr>
                <w:rFonts w:ascii="Arial" w:hAnsi="Arial" w:cs="Arial"/>
                <w:sz w:val="20"/>
                <w:szCs w:val="22"/>
              </w:rPr>
              <w:t>ский сельсовет 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0335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 xml:space="preserve">размещение средств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0336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0400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0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Остатки на едином счете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0500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lastRenderedPageBreak/>
        <w:t>Приложение N 2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526614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УТВЕРЖДАЮ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Глава сельского поселения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_________ 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(подпись) (И.О.Фамилия)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                    "__" _______ 20__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6" w:name="P915"/>
      <w:bookmarkEnd w:id="6"/>
      <w:r w:rsidRPr="00A035AE">
        <w:rPr>
          <w:rFonts w:ascii="Courier New" w:hAnsi="Courier New" w:cs="Courier New"/>
          <w:sz w:val="20"/>
          <w:szCs w:val="22"/>
        </w:rPr>
        <w:t xml:space="preserve">                               КАССОВЫЙ ПЛАН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ИСПОЛНЕНИЯ БЮДЖЕТА АДМИНИСТРАЦИИ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                  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на "___" _____________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Наименование органа,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осуществляющего составление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 ведение кассового плана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A035AE">
        <w:rPr>
          <w:rFonts w:ascii="Courier New" w:hAnsi="Courier New" w:cs="Courier New"/>
          <w:sz w:val="18"/>
          <w:szCs w:val="18"/>
        </w:rPr>
        <w:t>исполнения бюджета сельского поселения</w:t>
      </w:r>
    </w:p>
    <w:p w:rsidR="00A035AE" w:rsidRPr="00A035AE" w:rsidRDefault="00526614" w:rsidP="00A035AE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Нижнекигин</w:t>
      </w:r>
      <w:r w:rsidR="00A035AE" w:rsidRPr="00A035AE">
        <w:rPr>
          <w:rFonts w:ascii="Courier New" w:hAnsi="Courier New" w:cs="Courier New"/>
          <w:sz w:val="18"/>
          <w:szCs w:val="18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Республики Башкортостан       АДМИНИСТРАЦИЯ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 xml:space="preserve">СКИЙ СЕЛЬСОВЕТ                                      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МУНИЦИПАЛЬНОГО РАЙОНА КИГИНСКИЙ РАЙОН РЕСПУБЛИКИ        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    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Единица измерения: руб.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851"/>
        <w:gridCol w:w="567"/>
        <w:gridCol w:w="56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8"/>
      </w:tblGrid>
      <w:tr w:rsidR="00A035AE" w:rsidRPr="00A035AE" w:rsidTr="00D365EC">
        <w:tc>
          <w:tcPr>
            <w:tcW w:w="2614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Кол строки</w:t>
            </w:r>
          </w:p>
        </w:tc>
        <w:tc>
          <w:tcPr>
            <w:tcW w:w="851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Сумма на месяц, всего</w:t>
            </w:r>
          </w:p>
        </w:tc>
        <w:tc>
          <w:tcPr>
            <w:tcW w:w="11104" w:type="dxa"/>
            <w:gridSpan w:val="22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по рабочим дням месяца</w:t>
            </w:r>
          </w:p>
        </w:tc>
      </w:tr>
      <w:tr w:rsidR="00A035AE" w:rsidRPr="00A035AE" w:rsidTr="00D365EC">
        <w:tc>
          <w:tcPr>
            <w:tcW w:w="2614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25</w:t>
            </w: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Остатки на едином счете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муниципального района Кигинский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0100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Поступления по доходам и источникам 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0200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и неналоговые доходы,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0220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Поступления по источникам финансирования дефицита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муниципального района Кигинский район Республики Башкортостан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0230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0233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0234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0235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0236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муниципальный район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0237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возврат средств бюджета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 xml:space="preserve">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муниципального района Кигинский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0238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0239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0300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перечисления по расходам,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0310_1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0310_2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межбюджетные трансферты,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0312_1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0312_2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0313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0314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0315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Перечисления по источникам финансирования дефицита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бюджета муниципального района Кигинский район Республики Башкортостан - всего,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0331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0332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0333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0334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муниципальный район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0335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размещение средств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 xml:space="preserve"> муниципального района Кигинский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0336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0400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61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 xml:space="preserve">Остатки на едином счете бюджета сельского поселения </w:t>
            </w:r>
            <w:r w:rsidR="00526614">
              <w:rPr>
                <w:rFonts w:ascii="Arial" w:hAnsi="Arial" w:cs="Arial"/>
                <w:sz w:val="20"/>
                <w:szCs w:val="22"/>
              </w:rPr>
              <w:t>Нижнекигин</w:t>
            </w:r>
            <w:r w:rsidRPr="00A035AE">
              <w:rPr>
                <w:rFonts w:ascii="Arial" w:hAnsi="Arial" w:cs="Arial"/>
                <w:sz w:val="20"/>
                <w:szCs w:val="22"/>
              </w:rPr>
              <w:t>ский сельсовет</w:t>
            </w:r>
          </w:p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муниципального района Кигинский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0500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lastRenderedPageBreak/>
        <w:t>Приложение N 3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526614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7" w:name="P1898"/>
      <w:bookmarkEnd w:id="7"/>
      <w:r w:rsidRPr="00A035AE">
        <w:rPr>
          <w:rFonts w:ascii="Courier New" w:hAnsi="Courier New" w:cs="Courier New"/>
          <w:sz w:val="20"/>
          <w:szCs w:val="22"/>
        </w:rPr>
        <w:t>ПРОГНОЗ ПОСТУПЛЕНИЙ ПО ДОХОДАМ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БЮДЖЕТА АДМИНИСТРАЦИИ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                   МУНИЦИПАЛЬНОГО РАЙОНА КИГИНСКИЙ РАЙОН РЕСПУБЛИКИ БАШКОРТОСТАН НА ТЕКУЩИЙ ФИНАНСОВЫЙ ГОД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на "____" ______________ 20__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52661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распорядитель средств бюджета </w:t>
            </w:r>
            <w:r w:rsidR="00526614">
              <w:rPr>
                <w:rFonts w:ascii="Courier New" w:hAnsi="Courier New" w:cs="Courier New"/>
                <w:sz w:val="20"/>
                <w:szCs w:val="22"/>
              </w:rPr>
              <w:t>Нижнекигин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>ский сельсовет муниципального района 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077"/>
        <w:gridCol w:w="624"/>
        <w:gridCol w:w="567"/>
        <w:gridCol w:w="709"/>
        <w:gridCol w:w="851"/>
        <w:gridCol w:w="709"/>
        <w:gridCol w:w="567"/>
        <w:gridCol w:w="737"/>
        <w:gridCol w:w="907"/>
        <w:gridCol w:w="481"/>
        <w:gridCol w:w="481"/>
        <w:gridCol w:w="679"/>
        <w:gridCol w:w="984"/>
        <w:gridCol w:w="887"/>
        <w:gridCol w:w="567"/>
        <w:gridCol w:w="481"/>
        <w:gridCol w:w="709"/>
      </w:tblGrid>
      <w:tr w:rsidR="00A035AE" w:rsidRPr="00A035AE" w:rsidTr="00F2781C">
        <w:tc>
          <w:tcPr>
            <w:tcW w:w="162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62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Март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Май</w:t>
            </w: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Июнь</w:t>
            </w:r>
          </w:p>
        </w:tc>
        <w:tc>
          <w:tcPr>
            <w:tcW w:w="90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полугодие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Июль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Август</w:t>
            </w:r>
          </w:p>
        </w:tc>
        <w:tc>
          <w:tcPr>
            <w:tcW w:w="6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9 месяцев</w:t>
            </w:r>
          </w:p>
        </w:tc>
        <w:tc>
          <w:tcPr>
            <w:tcW w:w="88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Ноябрь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год</w:t>
            </w:r>
          </w:p>
        </w:tc>
      </w:tr>
      <w:tr w:rsidR="00A035AE" w:rsidRPr="00A035AE" w:rsidTr="00F2781C">
        <w:tc>
          <w:tcPr>
            <w:tcW w:w="162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2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73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90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6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8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8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</w:tr>
      <w:tr w:rsidR="00A035AE" w:rsidRPr="00A035AE" w:rsidTr="00F2781C">
        <w:tc>
          <w:tcPr>
            <w:tcW w:w="162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162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 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(подпись)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"___" ____________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Pr="00A035AE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lastRenderedPageBreak/>
        <w:t>Приложение N 4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сельского поселения </w:t>
      </w:r>
    </w:p>
    <w:p w:rsidR="00A035AE" w:rsidRPr="00A035AE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Нижнекигин</w:t>
      </w:r>
      <w:r w:rsidR="00A035AE"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муниципального района Кигинский район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8" w:name="P2000"/>
      <w:bookmarkEnd w:id="8"/>
      <w:r w:rsidRPr="00A035AE">
        <w:rPr>
          <w:rFonts w:ascii="Courier New" w:hAnsi="Courier New" w:cs="Courier New"/>
          <w:sz w:val="20"/>
          <w:szCs w:val="22"/>
        </w:rPr>
        <w:t>ПРОГНОЗ ПОСТУПЛЕНИЙ НАЛОГОВЫХ И НЕНАЛОГОВЫХ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ДОХОДОВ В БЮДЖЕТ АДМИНИСТРАЦИИ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МУНИЦИПАЛЬНОГО РАЙОНА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 ТЕКУЩИЙ ФИНАНСОВЫЙ ГОД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на "__" _________ 20__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Администрация сельского поселения </w:t>
      </w:r>
    </w:p>
    <w:p w:rsidR="00A035AE" w:rsidRPr="00A035AE" w:rsidRDefault="00526614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Нижнекигин</w:t>
      </w:r>
      <w:r w:rsidR="00A035AE" w:rsidRPr="00A035AE">
        <w:rPr>
          <w:rFonts w:ascii="Courier New" w:hAnsi="Courier New" w:cs="Courier New"/>
          <w:sz w:val="20"/>
          <w:szCs w:val="22"/>
        </w:rPr>
        <w:t>ский сельсовет муниципального района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Единица измерения: руб.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3"/>
        <w:gridCol w:w="800"/>
        <w:gridCol w:w="709"/>
        <w:gridCol w:w="709"/>
        <w:gridCol w:w="709"/>
        <w:gridCol w:w="709"/>
        <w:gridCol w:w="850"/>
        <w:gridCol w:w="709"/>
        <w:gridCol w:w="709"/>
        <w:gridCol w:w="907"/>
        <w:gridCol w:w="652"/>
        <w:gridCol w:w="596"/>
        <w:gridCol w:w="984"/>
        <w:gridCol w:w="688"/>
        <w:gridCol w:w="567"/>
        <w:gridCol w:w="595"/>
        <w:gridCol w:w="794"/>
      </w:tblGrid>
      <w:tr w:rsidR="00A035AE" w:rsidRPr="00A035AE" w:rsidTr="00D365E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строки</w:t>
            </w:r>
          </w:p>
        </w:tc>
        <w:tc>
          <w:tcPr>
            <w:tcW w:w="80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Март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Май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Июнь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полугодие</w:t>
            </w:r>
          </w:p>
        </w:tc>
        <w:tc>
          <w:tcPr>
            <w:tcW w:w="90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Июль</w:t>
            </w:r>
          </w:p>
        </w:tc>
        <w:tc>
          <w:tcPr>
            <w:tcW w:w="65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Август</w:t>
            </w:r>
          </w:p>
        </w:tc>
        <w:tc>
          <w:tcPr>
            <w:tcW w:w="596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9 месяцев</w:t>
            </w:r>
          </w:p>
        </w:tc>
        <w:tc>
          <w:tcPr>
            <w:tcW w:w="6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Ноябрь</w:t>
            </w:r>
          </w:p>
        </w:tc>
        <w:tc>
          <w:tcPr>
            <w:tcW w:w="59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год</w:t>
            </w:r>
          </w:p>
        </w:tc>
      </w:tr>
      <w:tr w:rsidR="00A035AE" w:rsidRPr="00A035AE" w:rsidTr="00D365E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4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65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596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6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59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79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</w:tr>
      <w:tr w:rsidR="00A035AE" w:rsidRPr="00A035AE" w:rsidTr="00D365E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и неналоговые доходы, в том числе:</w:t>
            </w:r>
          </w:p>
        </w:tc>
        <w:tc>
          <w:tcPr>
            <w:tcW w:w="74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0210</w:t>
            </w:r>
          </w:p>
        </w:tc>
        <w:tc>
          <w:tcPr>
            <w:tcW w:w="80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доходы</w:t>
            </w:r>
          </w:p>
        </w:tc>
        <w:tc>
          <w:tcPr>
            <w:tcW w:w="74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0211</w:t>
            </w:r>
          </w:p>
        </w:tc>
        <w:tc>
          <w:tcPr>
            <w:tcW w:w="80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неналоговые доходы</w:t>
            </w:r>
          </w:p>
        </w:tc>
        <w:tc>
          <w:tcPr>
            <w:tcW w:w="74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0212</w:t>
            </w:r>
          </w:p>
        </w:tc>
        <w:tc>
          <w:tcPr>
            <w:tcW w:w="80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Начальник отдела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(иное уполномоченное лицо) _________ 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(подпись)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lastRenderedPageBreak/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СОГЛАСОВАНО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Глава сельского поселения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(иное уполномоченное лицо)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__________ 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(подпись) (И.О.Фамилия)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 20__ г.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F2781C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П</w:t>
      </w:r>
      <w:r w:rsidR="00A035AE" w:rsidRPr="00A035AE">
        <w:rPr>
          <w:rFonts w:ascii="Arial" w:hAnsi="Arial" w:cs="Arial"/>
          <w:sz w:val="20"/>
          <w:szCs w:val="22"/>
        </w:rPr>
        <w:t>риложение N 5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плана исполнения бюджета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сельского поселения </w:t>
      </w:r>
      <w:r w:rsidR="00526614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9" w:name="P2128"/>
      <w:bookmarkEnd w:id="9"/>
      <w:r w:rsidRPr="00A035AE">
        <w:rPr>
          <w:rFonts w:ascii="Courier New" w:hAnsi="Courier New" w:cs="Courier New"/>
          <w:sz w:val="20"/>
          <w:szCs w:val="22"/>
        </w:rPr>
        <w:t>ПРОГНОЗ ПОСТУПЛЕНИЙ ПО ДОХОДАМ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БЮДЖЕТА АДМИНИСТРАЦИИ СЕЛЬСКОГО ПОСЕЛЕНИЯ </w:t>
      </w:r>
      <w:r w:rsidR="00526614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                  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52661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распорядитель средств бюджета сельского поселения </w:t>
            </w:r>
            <w:r w:rsidR="00526614">
              <w:rPr>
                <w:rFonts w:ascii="Courier New" w:hAnsi="Courier New" w:cs="Courier New"/>
                <w:sz w:val="20"/>
                <w:szCs w:val="22"/>
              </w:rPr>
              <w:t>Нижнекигин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>ский сельсовет 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84"/>
        <w:gridCol w:w="107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A035AE" w:rsidRPr="00A035AE" w:rsidTr="00D365EC">
        <w:tc>
          <w:tcPr>
            <w:tcW w:w="1928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Сумма на месяц, всего</w:t>
            </w:r>
          </w:p>
        </w:tc>
        <w:tc>
          <w:tcPr>
            <w:tcW w:w="10329" w:type="dxa"/>
            <w:gridSpan w:val="23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по рабочим дням месяца:</w:t>
            </w:r>
          </w:p>
        </w:tc>
      </w:tr>
      <w:tr w:rsidR="00A035AE" w:rsidRPr="00A035AE" w:rsidTr="00D365EC">
        <w:tc>
          <w:tcPr>
            <w:tcW w:w="1928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28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077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449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451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26</w:t>
            </w:r>
          </w:p>
        </w:tc>
      </w:tr>
      <w:tr w:rsidR="00A035AE" w:rsidRPr="00A035AE" w:rsidTr="00D365EC">
        <w:tc>
          <w:tcPr>
            <w:tcW w:w="19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928" w:type="dxa"/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1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_____________ ________________________________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(Начальник отдела)   (подпись)     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___________ 20__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526614" w:rsidRPr="00A035AE" w:rsidRDefault="00526614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lastRenderedPageBreak/>
        <w:t>Приложение N 6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сельского поселения </w:t>
      </w:r>
    </w:p>
    <w:p w:rsidR="00A035AE" w:rsidRPr="00A035AE" w:rsidRDefault="00526614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Нижнекигин</w:t>
      </w:r>
      <w:r w:rsidR="00A035AE"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муниципального района Кигинский район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10" w:name="P2289"/>
      <w:bookmarkEnd w:id="10"/>
      <w:r w:rsidRPr="00A035AE">
        <w:rPr>
          <w:rFonts w:ascii="Courier New" w:hAnsi="Courier New" w:cs="Courier New"/>
          <w:sz w:val="20"/>
          <w:szCs w:val="22"/>
        </w:rPr>
        <w:t>ПРОГНОЗ ПОСТУПЛЕНИЙ НАЛОГОВЫХ И НЕНАЛОГОВЫХ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ДОХОДОВ В БЮДЖЕТ АДМИНИСТРАЦИИ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МУНИЦИПАЛЬНОГО РАЙОНА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Администрация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 xml:space="preserve">ский сельсовет 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Единица измерения: руб.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1020"/>
        <w:gridCol w:w="1003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8"/>
      </w:tblGrid>
      <w:tr w:rsidR="00A035AE" w:rsidRPr="00A035AE" w:rsidTr="00D365EC">
        <w:tc>
          <w:tcPr>
            <w:tcW w:w="1728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строки</w:t>
            </w:r>
          </w:p>
        </w:tc>
        <w:tc>
          <w:tcPr>
            <w:tcW w:w="1003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Сумма на месяц всего</w:t>
            </w:r>
          </w:p>
        </w:tc>
        <w:tc>
          <w:tcPr>
            <w:tcW w:w="11505" w:type="dxa"/>
            <w:gridSpan w:val="24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по рабочим дням месяца</w:t>
            </w:r>
          </w:p>
        </w:tc>
      </w:tr>
      <w:tr w:rsidR="00A035AE" w:rsidRPr="00A035AE" w:rsidTr="00D365EC">
        <w:tc>
          <w:tcPr>
            <w:tcW w:w="1728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3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4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27</w:t>
            </w: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2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0210</w:t>
            </w:r>
          </w:p>
        </w:tc>
        <w:tc>
          <w:tcPr>
            <w:tcW w:w="100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налоговые доходы</w:t>
            </w:r>
          </w:p>
        </w:tc>
        <w:tc>
          <w:tcPr>
            <w:tcW w:w="102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0211</w:t>
            </w:r>
          </w:p>
        </w:tc>
        <w:tc>
          <w:tcPr>
            <w:tcW w:w="100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неналоговые доходы</w:t>
            </w:r>
          </w:p>
        </w:tc>
        <w:tc>
          <w:tcPr>
            <w:tcW w:w="102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0212</w:t>
            </w:r>
          </w:p>
        </w:tc>
        <w:tc>
          <w:tcPr>
            <w:tcW w:w="100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Начальник отдела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(иное уполномоченное лицо) _________ 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    (подпись)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СОГЛАСОВАНО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Глава сельского поселения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(иное уполномоченное лицо)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__________ 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(подпись) (И.О.Фамилия)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 20__ г.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 w:rsidSect="00F2781C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Приложение N 7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4D6413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11" w:name="P2463"/>
      <w:bookmarkEnd w:id="11"/>
      <w:r w:rsidRPr="00A035AE">
        <w:rPr>
          <w:rFonts w:ascii="Courier New" w:hAnsi="Courier New" w:cs="Courier New"/>
          <w:sz w:val="20"/>
          <w:szCs w:val="22"/>
        </w:rPr>
        <w:t xml:space="preserve">                     ПРОГНОЗ ПЕРЕЧИСЛЕНИЙ ПО РАСХОДАМ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БЮДЖЕТА АДМИНИСТРАЦИИ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>СКИЙ СЕЛЬСОВЕТ                    МУНИЦИПАЛЬНОГО РАЙОНА КИГИНСКИЙ РАЙОН РЕСПУБЛИКИ БАШКОРТОСТАН НА ТЕКУЩИЙ ФИНАНСОВЫЙ ГОД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4D641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распорядитель средств бюджета сельского поселения </w:t>
            </w:r>
            <w:r w:rsidR="004D6413">
              <w:rPr>
                <w:rFonts w:ascii="Courier New" w:hAnsi="Courier New" w:cs="Courier New"/>
                <w:sz w:val="20"/>
                <w:szCs w:val="22"/>
              </w:rPr>
              <w:t>Нижнекигин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ский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517"/>
        <w:gridCol w:w="709"/>
        <w:gridCol w:w="567"/>
        <w:gridCol w:w="850"/>
        <w:gridCol w:w="709"/>
        <w:gridCol w:w="850"/>
        <w:gridCol w:w="851"/>
        <w:gridCol w:w="850"/>
        <w:gridCol w:w="709"/>
        <w:gridCol w:w="567"/>
        <w:gridCol w:w="993"/>
        <w:gridCol w:w="984"/>
        <w:gridCol w:w="717"/>
        <w:gridCol w:w="425"/>
        <w:gridCol w:w="567"/>
        <w:gridCol w:w="794"/>
      </w:tblGrid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5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Март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Май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Июнь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Июль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Август</w:t>
            </w: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9 месяцев</w:t>
            </w:r>
          </w:p>
        </w:tc>
        <w:tc>
          <w:tcPr>
            <w:tcW w:w="7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год</w:t>
            </w: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7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79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_____________ ________________________________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(подпись)     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___________ 20__ г.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Приложение N 8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плана исполнения бюджета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4D6413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12" w:name="P2565"/>
      <w:bookmarkEnd w:id="12"/>
      <w:r w:rsidRPr="00A035AE">
        <w:rPr>
          <w:rFonts w:ascii="Courier New" w:hAnsi="Courier New" w:cs="Courier New"/>
          <w:sz w:val="20"/>
          <w:szCs w:val="22"/>
        </w:rPr>
        <w:t>ПРОГНОЗ ПЕРЕЧИСЛЕНИЙ ПО РАСХОДАМ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БЮДЖЕТА АДМИНИСТРАЦИИ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 xml:space="preserve">СКИЙ СЕЛЬСОВЕТ                    МУНИЦИПАЛЬНОГО РАЙОНА КИГИНСКИЙ РАЙОН РЕСПУБЛИКИ БАШКОРТОСТАН 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4D641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распорядитель средств бюджета сельского поселения </w:t>
            </w:r>
            <w:r w:rsidR="004D6413">
              <w:rPr>
                <w:rFonts w:ascii="Courier New" w:hAnsi="Courier New" w:cs="Courier New"/>
                <w:sz w:val="20"/>
                <w:szCs w:val="22"/>
              </w:rPr>
              <w:t>Нижнекигин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ский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0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0"/>
      </w:tblGrid>
      <w:tr w:rsidR="00A035AE" w:rsidRPr="00A035AE" w:rsidTr="00F2781C">
        <w:tc>
          <w:tcPr>
            <w:tcW w:w="1984" w:type="dxa"/>
            <w:vMerge w:val="restart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Прогноз на месяц, всего</w:t>
            </w:r>
          </w:p>
        </w:tc>
        <w:tc>
          <w:tcPr>
            <w:tcW w:w="10140" w:type="dxa"/>
            <w:gridSpan w:val="23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по рабочим дням месяца:</w:t>
            </w:r>
          </w:p>
        </w:tc>
      </w:tr>
      <w:tr w:rsidR="00A035AE" w:rsidRPr="00A035AE" w:rsidTr="00F2781C">
        <w:tc>
          <w:tcPr>
            <w:tcW w:w="1984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1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44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46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26</w:t>
            </w:r>
          </w:p>
        </w:tc>
      </w:tr>
      <w:tr w:rsidR="00A035AE" w:rsidRPr="00A035AE" w:rsidTr="00F2781C">
        <w:tc>
          <w:tcPr>
            <w:tcW w:w="1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198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198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_____________ ________________________________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(подпись)     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___________ 20__ г.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Приложение N 9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плана исполнения бюджета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 сельского поселения </w:t>
      </w:r>
      <w:r w:rsidR="004D6413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13" w:name="P2726"/>
      <w:bookmarkEnd w:id="13"/>
      <w:r w:rsidRPr="00A035AE">
        <w:rPr>
          <w:rFonts w:ascii="Courier New" w:hAnsi="Courier New" w:cs="Courier New"/>
          <w:sz w:val="20"/>
          <w:szCs w:val="22"/>
        </w:rPr>
        <w:t>ПРОГНОЗ ПОСТУПЛЕНИЙ И ПЕРЕЧИСЛЕНИЙ ПО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ИСТОЧНИКАМ ФИНАНСИРОВАНИЯ ДЕФИЦИТА БЮДЖЕТА АДМИНИСТРАЦИИ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</w:t>
      </w:r>
      <w:r w:rsidRPr="00A035AE">
        <w:rPr>
          <w:rFonts w:ascii="Courier New" w:hAnsi="Courier New" w:cs="Courier New"/>
          <w:sz w:val="20"/>
          <w:szCs w:val="22"/>
        </w:rPr>
        <w:t xml:space="preserve">СКИЙ СЕЛЬСОВЕТ МУНИЦИПАЛЬНОГО РАЙОНА 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 ТЕКУЩИЙ ФИНАНСОВЫЙ ГОД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4D641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4D6413">
              <w:rPr>
                <w:rFonts w:ascii="Courier New" w:hAnsi="Courier New" w:cs="Courier New"/>
                <w:sz w:val="20"/>
                <w:szCs w:val="22"/>
              </w:rPr>
              <w:t>Нижнекигин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ский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659"/>
        <w:gridCol w:w="850"/>
        <w:gridCol w:w="709"/>
        <w:gridCol w:w="567"/>
        <w:gridCol w:w="567"/>
        <w:gridCol w:w="680"/>
        <w:gridCol w:w="596"/>
        <w:gridCol w:w="850"/>
        <w:gridCol w:w="709"/>
        <w:gridCol w:w="567"/>
        <w:gridCol w:w="709"/>
        <w:gridCol w:w="708"/>
        <w:gridCol w:w="851"/>
        <w:gridCol w:w="709"/>
        <w:gridCol w:w="1077"/>
        <w:gridCol w:w="987"/>
      </w:tblGrid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65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Март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квартал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Апрель</w:t>
            </w: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Май</w:t>
            </w:r>
          </w:p>
        </w:tc>
        <w:tc>
          <w:tcPr>
            <w:tcW w:w="596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Июнь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Июль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Сентябрь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Ноябрь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Декабрь</w:t>
            </w:r>
          </w:p>
        </w:tc>
        <w:tc>
          <w:tcPr>
            <w:tcW w:w="98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 за год</w:t>
            </w: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5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596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107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987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Перечисления по источникам, всего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Поступления по источникам, всего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F2781C">
        <w:tc>
          <w:tcPr>
            <w:tcW w:w="215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6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7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_____________ ________________________________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(подпись)     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___________ 20__ г.</w:t>
      </w: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58"/>
          <w:footerReference w:type="default" r:id="rId59"/>
          <w:headerReference w:type="first" r:id="rId60"/>
          <w:footerReference w:type="first" r:id="rId6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Приложение N 10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к Порядку составления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и ведения кассового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плана исполнения бюджета 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 xml:space="preserve">сельского поселения </w:t>
      </w:r>
      <w:r w:rsidR="004D6413">
        <w:rPr>
          <w:rFonts w:ascii="Arial" w:hAnsi="Arial" w:cs="Arial"/>
          <w:sz w:val="20"/>
          <w:szCs w:val="22"/>
        </w:rPr>
        <w:t>Нижнекигин</w:t>
      </w:r>
      <w:r w:rsidRPr="00A035AE">
        <w:rPr>
          <w:rFonts w:ascii="Arial" w:hAnsi="Arial" w:cs="Arial"/>
          <w:sz w:val="20"/>
          <w:szCs w:val="22"/>
        </w:rPr>
        <w:t>ский сельсовет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муниципального района Кигинский район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A035AE">
        <w:rPr>
          <w:rFonts w:ascii="Arial" w:hAnsi="Arial" w:cs="Arial"/>
          <w:sz w:val="20"/>
          <w:szCs w:val="22"/>
        </w:rPr>
        <w:t>в текущем финансовом году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14" w:name="P3009"/>
      <w:bookmarkEnd w:id="14"/>
      <w:r w:rsidRPr="00A035AE">
        <w:rPr>
          <w:rFonts w:ascii="Courier New" w:hAnsi="Courier New" w:cs="Courier New"/>
          <w:sz w:val="20"/>
          <w:szCs w:val="22"/>
        </w:rPr>
        <w:t xml:space="preserve">                   ПРОГНОЗ ПОСТУПЛЕНИЙ И ПЕРЕЧИСЛЕНИЙ ПО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ИСТОЧНИКАМ ФИНАНСИРОВАНИЯ ДЕФИЦИТА БЮДЖЕТА АДМИНИСТРАЦИИ СЕЛЬСКОГО ПОСЕЛЕНИЯ </w:t>
      </w:r>
      <w:r w:rsidR="004D6413">
        <w:rPr>
          <w:rFonts w:ascii="Courier New" w:hAnsi="Courier New" w:cs="Courier New"/>
          <w:sz w:val="20"/>
          <w:szCs w:val="22"/>
        </w:rPr>
        <w:t>НИЖНЕКИГИНСКИЙ</w:t>
      </w:r>
      <w:r w:rsidRPr="00A035AE">
        <w:rPr>
          <w:rFonts w:ascii="Courier New" w:hAnsi="Courier New" w:cs="Courier New"/>
          <w:sz w:val="20"/>
          <w:szCs w:val="22"/>
        </w:rPr>
        <w:t xml:space="preserve"> СЕЛЬСОВЕТ МУНИЦИПАЛЬНОГО РАЙОНА КИГИНСКИЙ РАЙОН РЕСПУБЛИКИ БАШКОРТОСТАН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НА ТЕКУЩИЙ МЕСЯЦ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   на "___" ___________ 20___ г.</w:t>
      </w:r>
    </w:p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4D641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4D6413">
              <w:rPr>
                <w:rFonts w:ascii="Courier New" w:hAnsi="Courier New" w:cs="Courier New"/>
                <w:sz w:val="20"/>
                <w:szCs w:val="22"/>
              </w:rPr>
              <w:t>Нижнекигинский</w:t>
            </w:r>
            <w:r w:rsidRPr="00A035AE">
              <w:rPr>
                <w:rFonts w:ascii="Courier New" w:hAnsi="Courier New" w:cs="Courier New"/>
                <w:sz w:val="20"/>
                <w:szCs w:val="22"/>
              </w:rPr>
              <w:t xml:space="preserve">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A035AE" w:rsidRPr="00A035AE">
          <w:headerReference w:type="default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744"/>
        <w:gridCol w:w="1353"/>
        <w:gridCol w:w="63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29"/>
        <w:gridCol w:w="479"/>
        <w:gridCol w:w="358"/>
        <w:gridCol w:w="428"/>
        <w:gridCol w:w="423"/>
      </w:tblGrid>
      <w:tr w:rsidR="00A035AE" w:rsidRPr="00A035AE" w:rsidTr="00D365EC">
        <w:tc>
          <w:tcPr>
            <w:tcW w:w="1728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строки</w:t>
            </w:r>
          </w:p>
        </w:tc>
        <w:tc>
          <w:tcPr>
            <w:tcW w:w="1353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Код по БК и дополнительной классификации</w:t>
            </w:r>
          </w:p>
        </w:tc>
        <w:tc>
          <w:tcPr>
            <w:tcW w:w="632" w:type="dxa"/>
            <w:vMerge w:val="restart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Прогноз на месяц, всего</w:t>
            </w:r>
          </w:p>
        </w:tc>
        <w:tc>
          <w:tcPr>
            <w:tcW w:w="10631" w:type="dxa"/>
            <w:gridSpan w:val="23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в том числе по рабочим дням месяца:</w:t>
            </w:r>
          </w:p>
        </w:tc>
      </w:tr>
      <w:tr w:rsidR="00A035AE" w:rsidRPr="00A035AE" w:rsidTr="00D365EC">
        <w:tc>
          <w:tcPr>
            <w:tcW w:w="1728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44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  <w:vMerge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35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632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2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79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4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42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27</w:t>
            </w: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Перечисления по источникам, всего</w:t>
            </w:r>
          </w:p>
        </w:tc>
        <w:tc>
          <w:tcPr>
            <w:tcW w:w="74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ind w:firstLine="16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0100</w:t>
            </w:r>
          </w:p>
        </w:tc>
        <w:tc>
          <w:tcPr>
            <w:tcW w:w="135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4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4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Поступления по источникам, всего</w:t>
            </w:r>
          </w:p>
        </w:tc>
        <w:tc>
          <w:tcPr>
            <w:tcW w:w="744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ind w:firstLine="16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0200</w:t>
            </w:r>
          </w:p>
        </w:tc>
        <w:tc>
          <w:tcPr>
            <w:tcW w:w="1353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4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4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35AE" w:rsidRPr="00A035AE" w:rsidTr="00D365EC">
        <w:tc>
          <w:tcPr>
            <w:tcW w:w="1728" w:type="dxa"/>
            <w:vAlign w:val="center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A035AE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744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9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3" w:type="dxa"/>
          </w:tcPr>
          <w:p w:rsidR="00A035AE" w:rsidRPr="00A035AE" w:rsidRDefault="00A035AE" w:rsidP="00A035A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35AE" w:rsidRPr="00A035AE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Руководитель       _____________ ________________________________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        (подпись)        (расшифровка подписи)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Исполнитель ___________ _________ _____________________ _________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 xml:space="preserve">            (должность) (подпись) (расшифровка подписи) (телефон)</w:t>
      </w: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035AE" w:rsidRPr="00A035AE" w:rsidRDefault="00A035AE" w:rsidP="00A035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035AE">
        <w:rPr>
          <w:rFonts w:ascii="Courier New" w:hAnsi="Courier New" w:cs="Courier New"/>
          <w:sz w:val="20"/>
          <w:szCs w:val="22"/>
        </w:rPr>
        <w:t>"__" ___________ 20__ г.</w:t>
      </w:r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  <w:bookmarkStart w:id="15" w:name="_GoBack"/>
      <w:bookmarkEnd w:id="15"/>
    </w:p>
    <w:p w:rsidR="00A035AE" w:rsidRPr="00A035AE" w:rsidRDefault="00A035AE" w:rsidP="00A03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A63120" w:rsidRDefault="00A63120" w:rsidP="00A63120">
      <w:pPr>
        <w:rPr>
          <w:bCs/>
          <w:sz w:val="28"/>
          <w:szCs w:val="20"/>
        </w:rPr>
      </w:pPr>
    </w:p>
    <w:p w:rsid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A63120" w:rsidRDefault="00A63120" w:rsidP="00A63120">
      <w:pPr>
        <w:rPr>
          <w:bCs/>
          <w:sz w:val="28"/>
          <w:szCs w:val="20"/>
        </w:rPr>
      </w:pPr>
    </w:p>
    <w:p w:rsidR="00A63120" w:rsidRPr="007712E7" w:rsidRDefault="00A63120" w:rsidP="007712E7">
      <w:pPr>
        <w:rPr>
          <w:bCs/>
          <w:sz w:val="28"/>
          <w:szCs w:val="20"/>
        </w:rPr>
      </w:pPr>
    </w:p>
    <w:sectPr w:rsidR="00A63120" w:rsidRPr="007712E7" w:rsidSect="00A035AE">
      <w:headerReference w:type="even" r:id="rId66"/>
      <w:pgSz w:w="15840" w:h="12240" w:orient="landscape"/>
      <w:pgMar w:top="1612" w:right="944" w:bottom="616" w:left="52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D4" w:rsidRDefault="000070D4" w:rsidP="00B1632E">
      <w:r>
        <w:separator/>
      </w:r>
    </w:p>
  </w:endnote>
  <w:endnote w:type="continuationSeparator" w:id="0">
    <w:p w:rsidR="000070D4" w:rsidRDefault="000070D4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124D64" w:rsidRDefault="00D365EC" w:rsidP="00D365EC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365EC">
      <w:trPr>
        <w:trHeight w:hRule="exact" w:val="1170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124D64" w:rsidRDefault="00D365EC" w:rsidP="00D365EC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365EC">
      <w:trPr>
        <w:trHeight w:hRule="exact" w:val="1170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365EC">
      <w:trPr>
        <w:trHeight w:hRule="exact" w:val="1170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65EC">
      <w:trPr>
        <w:trHeight w:hRule="exact" w:val="1663"/>
      </w:trPr>
      <w:tc>
        <w:tcPr>
          <w:tcW w:w="1650" w:type="pct"/>
          <w:vAlign w:val="center"/>
        </w:tcPr>
        <w:p w:rsidR="00D365EC" w:rsidRDefault="00D365E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65EC" w:rsidRDefault="000070D4">
          <w:pPr>
            <w:pStyle w:val="ConsPlusNormal"/>
            <w:jc w:val="center"/>
          </w:pPr>
          <w:hyperlink r:id="rId1">
            <w:r w:rsidR="00D365E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65EC" w:rsidRDefault="00D365E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2781C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D365EC" w:rsidRDefault="00D365EC">
    <w:pPr>
      <w:pStyle w:val="ConsPlusNormal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D4" w:rsidRDefault="000070D4" w:rsidP="00B1632E">
      <w:r>
        <w:separator/>
      </w:r>
    </w:p>
  </w:footnote>
  <w:footnote w:type="continuationSeparator" w:id="0">
    <w:p w:rsidR="000070D4" w:rsidRDefault="000070D4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124D64" w:rsidRDefault="00D365EC" w:rsidP="00D365EC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365EC">
      <w:trPr>
        <w:trHeight w:hRule="exact" w:val="1190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124D64" w:rsidRDefault="00D365EC" w:rsidP="00D365EC">
    <w:pPr>
      <w:pStyle w:val="ac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365EC">
      <w:trPr>
        <w:trHeight w:hRule="exact" w:val="1190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004178" w:rsidRDefault="00D365EC" w:rsidP="00D365EC">
    <w:pPr>
      <w:pStyle w:val="ac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c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365EC">
      <w:trPr>
        <w:trHeight w:hRule="exact" w:val="1190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c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59"/>
      <w:gridCol w:w="6610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5E16B0" w:rsidRDefault="00D365EC" w:rsidP="00D365EC">
    <w:pPr>
      <w:pStyle w:val="ac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5EC" w:rsidRDefault="00D365E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D365EC" w:rsidRDefault="00D365E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65EC">
      <w:trPr>
        <w:trHeight w:hRule="exact" w:val="1683"/>
      </w:trPr>
      <w:tc>
        <w:tcPr>
          <w:tcW w:w="2700" w:type="pct"/>
          <w:vAlign w:val="center"/>
        </w:tcPr>
        <w:p w:rsidR="00D365EC" w:rsidRDefault="00D365E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D365EC" w:rsidRDefault="00D365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365EC" w:rsidRDefault="00D365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65EC" w:rsidRDefault="00D365EC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Pr="0036604F" w:rsidRDefault="00D365EC" w:rsidP="00D3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070D4"/>
    <w:rsid w:val="00055D8F"/>
    <w:rsid w:val="00131B02"/>
    <w:rsid w:val="0013735B"/>
    <w:rsid w:val="001548BC"/>
    <w:rsid w:val="001B3C51"/>
    <w:rsid w:val="001D760B"/>
    <w:rsid w:val="0020755C"/>
    <w:rsid w:val="00252E04"/>
    <w:rsid w:val="003022DB"/>
    <w:rsid w:val="00350B31"/>
    <w:rsid w:val="003B4E76"/>
    <w:rsid w:val="003F71BD"/>
    <w:rsid w:val="00452A02"/>
    <w:rsid w:val="004674A0"/>
    <w:rsid w:val="004778D0"/>
    <w:rsid w:val="004B23AE"/>
    <w:rsid w:val="004B2B21"/>
    <w:rsid w:val="004D6413"/>
    <w:rsid w:val="004F5894"/>
    <w:rsid w:val="005122D7"/>
    <w:rsid w:val="005168F7"/>
    <w:rsid w:val="00520FDE"/>
    <w:rsid w:val="00521D3A"/>
    <w:rsid w:val="00526614"/>
    <w:rsid w:val="00543DE7"/>
    <w:rsid w:val="00560AB7"/>
    <w:rsid w:val="00581CC0"/>
    <w:rsid w:val="005E36C3"/>
    <w:rsid w:val="00647222"/>
    <w:rsid w:val="006713E2"/>
    <w:rsid w:val="006E0413"/>
    <w:rsid w:val="006F7199"/>
    <w:rsid w:val="007006F9"/>
    <w:rsid w:val="00700876"/>
    <w:rsid w:val="00741D64"/>
    <w:rsid w:val="007712E7"/>
    <w:rsid w:val="007D6E47"/>
    <w:rsid w:val="008144BB"/>
    <w:rsid w:val="00832CA0"/>
    <w:rsid w:val="00892C2D"/>
    <w:rsid w:val="008B5529"/>
    <w:rsid w:val="008C20BF"/>
    <w:rsid w:val="008C7A9A"/>
    <w:rsid w:val="008C7D9A"/>
    <w:rsid w:val="008D124F"/>
    <w:rsid w:val="00903CCF"/>
    <w:rsid w:val="009266E3"/>
    <w:rsid w:val="009B6508"/>
    <w:rsid w:val="009C2FE9"/>
    <w:rsid w:val="009E5848"/>
    <w:rsid w:val="00A035AE"/>
    <w:rsid w:val="00A3139E"/>
    <w:rsid w:val="00A36CE5"/>
    <w:rsid w:val="00A52AA9"/>
    <w:rsid w:val="00A57151"/>
    <w:rsid w:val="00A63120"/>
    <w:rsid w:val="00B00ED8"/>
    <w:rsid w:val="00B1632E"/>
    <w:rsid w:val="00B72E59"/>
    <w:rsid w:val="00B77640"/>
    <w:rsid w:val="00BE3027"/>
    <w:rsid w:val="00C444CE"/>
    <w:rsid w:val="00C44FC9"/>
    <w:rsid w:val="00C45E11"/>
    <w:rsid w:val="00C73A2A"/>
    <w:rsid w:val="00C744FF"/>
    <w:rsid w:val="00D3519E"/>
    <w:rsid w:val="00D365EC"/>
    <w:rsid w:val="00D47C4F"/>
    <w:rsid w:val="00D97CFA"/>
    <w:rsid w:val="00E12BC2"/>
    <w:rsid w:val="00E2358D"/>
    <w:rsid w:val="00EB24E3"/>
    <w:rsid w:val="00EC57E2"/>
    <w:rsid w:val="00ED3A09"/>
    <w:rsid w:val="00F2781C"/>
    <w:rsid w:val="00F676DF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35AE"/>
  </w:style>
  <w:style w:type="paragraph" w:customStyle="1" w:styleId="ConsPlusCell">
    <w:name w:val="ConsPlusCell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03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63" Type="http://schemas.openxmlformats.org/officeDocument/2006/relationships/footer" Target="footer27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61" Type="http://schemas.openxmlformats.org/officeDocument/2006/relationships/footer" Target="footer2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282E26D326B4EFFB279D22513AFF0C75C21BC6EED95228BBEFE07FA5F45ACAF196A88123A90E6596E2B813E1CF6AJ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8" Type="http://schemas.openxmlformats.org/officeDocument/2006/relationships/image" Target="media/image1.png"/><Relationship Id="rId51" Type="http://schemas.openxmlformats.org/officeDocument/2006/relationships/footer" Target="footer2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5.xml"/><Relationship Id="rId67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footer" Target="footer16.xml"/><Relationship Id="rId54" Type="http://schemas.openxmlformats.org/officeDocument/2006/relationships/header" Target="header23.xml"/><Relationship Id="rId62" Type="http://schemas.openxmlformats.org/officeDocument/2006/relationships/header" Target="header27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568D-994E-407A-AEBF-5E797952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9509</Words>
  <Characters>54207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2023-02-10T10:49:00Z</cp:lastPrinted>
  <dcterms:created xsi:type="dcterms:W3CDTF">2023-02-10T07:14:00Z</dcterms:created>
  <dcterms:modified xsi:type="dcterms:W3CDTF">2023-02-10T10:52:00Z</dcterms:modified>
</cp:coreProperties>
</file>